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7C6745">
        <w:trPr>
          <w:trHeight w:val="260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42396C" w:rsidRDefault="0042396C" w:rsidP="007C6745">
                  <w:pPr>
                    <w:tabs>
                      <w:tab w:val="right" w:pos="10800"/>
                    </w:tabs>
                    <w:ind w:firstLine="0"/>
                    <w:rPr>
                      <w:rFonts w:ascii="Footlight MT Light" w:hAnsi="Footlight MT Light"/>
                      <w:color w:val="000099"/>
                      <w:sz w:val="16"/>
                    </w:rPr>
                  </w:pPr>
                </w:p>
                <w:p w:rsidR="007C6745" w:rsidRPr="007C6745" w:rsidRDefault="007C6745" w:rsidP="007C6745">
                  <w:pPr>
                    <w:tabs>
                      <w:tab w:val="right" w:pos="10800"/>
                    </w:tabs>
                    <w:ind w:firstLine="0"/>
                    <w:rPr>
                      <w:rFonts w:ascii="Footlight MT Light" w:hAnsi="Footlight MT Light"/>
                      <w:color w:val="000099"/>
                      <w:sz w:val="16"/>
                      <w:u w:val="single"/>
                    </w:rPr>
                  </w:pPr>
                  <w:r w:rsidRPr="007C6745">
                    <w:rPr>
                      <w:rFonts w:ascii="Footlight MT Light" w:hAnsi="Footlight MT Light"/>
                      <w:color w:val="000099"/>
                      <w:sz w:val="16"/>
                      <w:u w:val="single"/>
                    </w:rPr>
                    <w:t>Nonmember Villages of</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PAULETTE SKINNER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2A1DC7" w:rsidP="00C11D1B">
            <w:pPr>
              <w:tabs>
                <w:tab w:val="right" w:pos="10800"/>
              </w:tabs>
              <w:jc w:val="center"/>
              <w:rPr>
                <w:rFonts w:ascii="Footlight MT Light" w:hAnsi="Footlight MT Light"/>
                <w:i/>
                <w:color w:val="000099"/>
                <w:sz w:val="20"/>
                <w:szCs w:val="20"/>
              </w:rPr>
            </w:pPr>
            <w:r w:rsidRPr="00BE1060">
              <w:rPr>
                <w:rFonts w:ascii="Footlight MT Light" w:hAnsi="Footlight MT Light"/>
                <w:b/>
                <w:color w:val="000099"/>
                <w:sz w:val="20"/>
                <w:szCs w:val="20"/>
              </w:rPr>
              <w:t>Email: angela@tughill.org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6"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0F4C0C">
        <w:rPr>
          <w:b/>
          <w:sz w:val="32"/>
          <w:szCs w:val="32"/>
          <w:u w:val="single"/>
        </w:rPr>
        <w:t xml:space="preserve"> Committee Meeting Minutes 8/01</w:t>
      </w:r>
      <w:r w:rsidR="00C8621C">
        <w:rPr>
          <w:b/>
          <w:sz w:val="32"/>
          <w:szCs w:val="32"/>
          <w:u w:val="single"/>
        </w:rPr>
        <w:t>/2016</w:t>
      </w:r>
    </w:p>
    <w:p w:rsidR="00B21806" w:rsidRDefault="00B21806" w:rsidP="00B21806">
      <w:pPr>
        <w:jc w:val="center"/>
        <w:rPr>
          <w:b/>
          <w:sz w:val="32"/>
          <w:szCs w:val="32"/>
          <w:u w:val="single"/>
        </w:rPr>
      </w:pPr>
    </w:p>
    <w:p w:rsidR="003F2ECD" w:rsidRDefault="00B21806" w:rsidP="00B21806">
      <w:r>
        <w:rPr>
          <w:sz w:val="24"/>
          <w:szCs w:val="24"/>
        </w:rPr>
        <w:tab/>
      </w:r>
      <w:r w:rsidRPr="00A47AD8">
        <w:t>The me</w:t>
      </w:r>
      <w:r w:rsidR="00375FD8" w:rsidRPr="00A47AD8">
        <w:t>e</w:t>
      </w:r>
      <w:r w:rsidR="000F4C0C">
        <w:t>ting was called to order at 6:59</w:t>
      </w:r>
      <w:r w:rsidRPr="00A47AD8">
        <w:t xml:space="preserve"> p.m. by Chairman R. Tibbetts.  </w:t>
      </w:r>
      <w:r w:rsidR="00CC778F" w:rsidRPr="00A47AD8">
        <w:t>Also p</w:t>
      </w:r>
      <w:r w:rsidR="00374BFF" w:rsidRPr="00A47AD8">
        <w:t xml:space="preserve">resent for the meeting were </w:t>
      </w:r>
      <w:r w:rsidR="00C8621C">
        <w:t xml:space="preserve">C. Bauer, Secretary; </w:t>
      </w:r>
      <w:r w:rsidR="009166B0" w:rsidRPr="00A47AD8">
        <w:t>S. Bernat</w:t>
      </w:r>
      <w:r w:rsidRPr="00A47AD8">
        <w:t>,</w:t>
      </w:r>
      <w:r w:rsidR="00474462" w:rsidRPr="00A47AD8">
        <w:t xml:space="preserve"> Director</w:t>
      </w:r>
      <w:r w:rsidR="00374BFF" w:rsidRPr="00A47AD8">
        <w:t>; R. White, Director</w:t>
      </w:r>
      <w:r w:rsidR="0036631F">
        <w:t>;</w:t>
      </w:r>
      <w:r w:rsidR="000F4C0C">
        <w:t xml:space="preserve"> P. Skinner, Director;</w:t>
      </w:r>
      <w:r w:rsidR="00C8621C">
        <w:t xml:space="preserve"> </w:t>
      </w:r>
      <w:r w:rsidR="00CC778F" w:rsidRPr="00A47AD8">
        <w:t>A. Kimball, Circuit Rider</w:t>
      </w:r>
      <w:r w:rsidR="000F4C0C">
        <w:t xml:space="preserve"> and Marguerite Wells from Invenergy corporation</w:t>
      </w:r>
      <w:r w:rsidR="00B122E6">
        <w:t>.</w:t>
      </w:r>
      <w:r w:rsidR="00374BFF" w:rsidRPr="00A47AD8">
        <w:t xml:space="preserve">  </w:t>
      </w:r>
    </w:p>
    <w:p w:rsidR="003F2ECD" w:rsidRDefault="003F2ECD" w:rsidP="003F2ECD">
      <w:pPr>
        <w:ind w:firstLine="0"/>
      </w:pPr>
    </w:p>
    <w:p w:rsidR="00B21806" w:rsidRPr="00A47AD8" w:rsidRDefault="000F4C0C" w:rsidP="003F2ECD">
      <w:pPr>
        <w:ind w:firstLine="0"/>
      </w:pPr>
      <w:r>
        <w:t>Ms Wells introduced herself to the Committee and gave a presentation on a new proposed wind farm project called the Number 3 wind project</w:t>
      </w:r>
      <w:r w:rsidR="00B21806" w:rsidRPr="00A47AD8">
        <w:t>.</w:t>
      </w:r>
      <w:r>
        <w:t xml:space="preserve">  The project encompasses about 6,000 acres and has a proposed 40 2.3 MW wind turbines.  They anticipate 2-3 years for the project to be completed and the farm will be in the towns of Harrisburg, Lowville and Denmark.  They will conduct a study of the area which is within five miles of their project boundaries, which includes some more of the CTHC towns.  They have set up a storefront in Lowville for the duration of the project and will be holding a public information meeting 8/24 at the Harrisburg Town Hall, where they hope to unveil the turbine layout map.  A. Kimball advised Ms. Wells of the Special Area program and asked if they would like copies of the maps of the towns in the study area if the towns approved, which was answered in the affirmative.  </w:t>
      </w:r>
    </w:p>
    <w:p w:rsidR="00B21806" w:rsidRPr="00A47AD8" w:rsidRDefault="00B21806" w:rsidP="00B21806">
      <w:pPr>
        <w:ind w:firstLine="0"/>
      </w:pPr>
    </w:p>
    <w:p w:rsidR="00B21806" w:rsidRPr="00A47AD8" w:rsidRDefault="00B21806" w:rsidP="00B21806">
      <w:pPr>
        <w:ind w:firstLine="0"/>
      </w:pPr>
      <w:r w:rsidRPr="00A47AD8">
        <w:rPr>
          <w:b/>
          <w:u w:val="single"/>
        </w:rPr>
        <w:t>Minutes:</w:t>
      </w:r>
      <w:r w:rsidR="003F2ECD">
        <w:t xml:space="preserve">  The minutes of the February 25, 2016</w:t>
      </w:r>
      <w:r w:rsidRPr="00A47AD8">
        <w:t xml:space="preserve"> Executive Committee meeting were reviewed by the Co</w:t>
      </w:r>
      <w:r w:rsidR="00374BFF" w:rsidRPr="00A47AD8">
        <w:t>mmittee.</w:t>
      </w:r>
      <w:r w:rsidR="00B122E6">
        <w:t xml:space="preserve">  </w:t>
      </w:r>
      <w:r w:rsidR="003F2ECD">
        <w:t>A motion was made by C. Bauer and seconded by P. Skinner</w:t>
      </w:r>
      <w:r w:rsidRPr="00A47AD8">
        <w:t xml:space="preserve"> to accept the minutes as presented.  All </w:t>
      </w:r>
      <w:r w:rsidR="00143F31">
        <w:t xml:space="preserve">were </w:t>
      </w:r>
      <w:r w:rsidRPr="00A47AD8">
        <w:t>in favor.</w:t>
      </w:r>
      <w:r w:rsidR="006C5892" w:rsidRPr="00A47AD8">
        <w:t xml:space="preserve">  (See attached</w:t>
      </w:r>
      <w:r w:rsidR="00CC778F" w:rsidRPr="00A47AD8">
        <w:t xml:space="preserve"> 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9E6665" w:rsidRPr="00A47AD8">
        <w:t xml:space="preserve"> and f</w:t>
      </w:r>
      <w:r w:rsidR="009166B0" w:rsidRPr="00A47AD8">
        <w:t>inanc</w:t>
      </w:r>
      <w:r w:rsidR="003F2ECD">
        <w:t>ial projection as of July</w:t>
      </w:r>
      <w:r w:rsidR="00474462" w:rsidRPr="00A47AD8">
        <w:t xml:space="preserve"> </w:t>
      </w:r>
      <w:r w:rsidR="003F2ECD">
        <w:t>28</w:t>
      </w:r>
      <w:r w:rsidR="00C8621C">
        <w:t>, 2016</w:t>
      </w:r>
      <w:r w:rsidR="009E6665" w:rsidRPr="00A47AD8">
        <w:t xml:space="preserve"> were</w:t>
      </w:r>
      <w:r w:rsidRPr="00A47AD8">
        <w:t xml:space="preserve"> presented by R. Tibbetts and reviewed by the members</w:t>
      </w:r>
      <w:r w:rsidR="00143F31">
        <w:t>.</w:t>
      </w:r>
      <w:r w:rsidR="00474462" w:rsidRPr="00A47AD8">
        <w:t xml:space="preserve">  </w:t>
      </w:r>
      <w:r w:rsidR="00CC778F" w:rsidRPr="00A47AD8">
        <w:t>Year-to-Date Carryove</w:t>
      </w:r>
      <w:r w:rsidR="00374BFF" w:rsidRPr="00A47AD8">
        <w:t>r: $42</w:t>
      </w:r>
      <w:r w:rsidR="009E6665" w:rsidRPr="00A47AD8">
        <w:t>,</w:t>
      </w:r>
      <w:r w:rsidR="00C8621C">
        <w:t>692.58</w:t>
      </w:r>
      <w:r w:rsidR="00374BFF" w:rsidRPr="00A47AD8">
        <w:t>; Receipts-to-Date: $</w:t>
      </w:r>
      <w:r w:rsidR="003F2ECD">
        <w:t>10,233.59</w:t>
      </w:r>
      <w:r w:rsidR="00CC778F" w:rsidRPr="00A47AD8">
        <w:t xml:space="preserve">; </w:t>
      </w:r>
      <w:r w:rsidR="0036631F">
        <w:t>Distribut</w:t>
      </w:r>
      <w:r w:rsidR="003F2ECD">
        <w:t>ions-to-Date: $5,171.92</w:t>
      </w:r>
      <w:r w:rsidR="009E6665" w:rsidRPr="00A47AD8">
        <w:t>; Current Net Funds Avail</w:t>
      </w:r>
      <w:r w:rsidR="003F2ECD">
        <w:t>able: $47,754.25</w:t>
      </w:r>
      <w:r w:rsidR="009E6665" w:rsidRPr="00A47AD8">
        <w:t>.  Following review and discussion o</w:t>
      </w:r>
      <w:r w:rsidR="00CC778F" w:rsidRPr="00A47AD8">
        <w:t xml:space="preserve">f reports a </w:t>
      </w:r>
      <w:r w:rsidR="00CB7AE4">
        <w:t>motion was made by S. Bernat</w:t>
      </w:r>
      <w:r w:rsidR="00375FD8" w:rsidRPr="00A47AD8">
        <w:t>, second</w:t>
      </w:r>
      <w:r w:rsidR="00CB7AE4">
        <w:t>ed by C. Bauer</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p>
    <w:p w:rsidR="001C1123" w:rsidRDefault="009E6665" w:rsidP="00B21806">
      <w:pPr>
        <w:ind w:firstLine="0"/>
        <w:rPr>
          <w:b/>
        </w:rPr>
      </w:pPr>
      <w:r w:rsidRPr="00A47AD8">
        <w:t xml:space="preserve">                  </w:t>
      </w:r>
      <w:r w:rsidRPr="00A47AD8">
        <w:rPr>
          <w:b/>
        </w:rPr>
        <w:t>C) Tug Hi</w:t>
      </w:r>
      <w:r w:rsidR="00E97C38" w:rsidRPr="00A47AD8">
        <w:rPr>
          <w:b/>
        </w:rPr>
        <w:t>ll Updates and Project Reports:</w:t>
      </w:r>
      <w:r w:rsidR="00CB7AE4">
        <w:rPr>
          <w:b/>
        </w:rPr>
        <w:t xml:space="preserve">  </w:t>
      </w:r>
      <w:r w:rsidR="00CB7AE4">
        <w:t>Since K. Malinowski and P. Street were in Albany for the day and unable to attend the THC updates were given by A. Kimball.</w:t>
      </w:r>
      <w:r w:rsidR="00E97C38" w:rsidRPr="00A47AD8">
        <w:rPr>
          <w:b/>
        </w:rPr>
        <w:t xml:space="preserve"> </w:t>
      </w:r>
      <w:r w:rsidRPr="00A47AD8">
        <w:rPr>
          <w:b/>
        </w:rPr>
        <w:t xml:space="preserve"> </w:t>
      </w:r>
    </w:p>
    <w:p w:rsidR="00A47AD8" w:rsidRDefault="001C1123" w:rsidP="00B21806">
      <w:pPr>
        <w:ind w:firstLine="0"/>
      </w:pPr>
      <w:r>
        <w:rPr>
          <w:b/>
        </w:rPr>
        <w:t xml:space="preserve">                          </w:t>
      </w:r>
      <w:r w:rsidR="00F41658">
        <w:rPr>
          <w:b/>
        </w:rPr>
        <w:t xml:space="preserve">    </w:t>
      </w:r>
      <w:r w:rsidR="00CB7AE4">
        <w:rPr>
          <w:b/>
        </w:rPr>
        <w:t>1) THC Annual Meeting:</w:t>
      </w:r>
      <w:r w:rsidR="00CB7AE4">
        <w:t xml:space="preserve">  The Commission has set the date for their annual meeting for 11/10, tentatively at the new barn/banquet facility at the Tailwater Lodge in Altmar/Albion.</w:t>
      </w:r>
    </w:p>
    <w:p w:rsidR="00CB7AE4" w:rsidRDefault="00CB7AE4" w:rsidP="00B21806">
      <w:pPr>
        <w:ind w:firstLine="0"/>
      </w:pPr>
      <w:r>
        <w:t xml:space="preserve">                              </w:t>
      </w:r>
      <w:r>
        <w:rPr>
          <w:b/>
        </w:rPr>
        <w:t xml:space="preserve">2) </w:t>
      </w:r>
      <w:r w:rsidRPr="00CB7AE4">
        <w:rPr>
          <w:b/>
        </w:rPr>
        <w:t>Commission meeting</w:t>
      </w:r>
      <w:r>
        <w:t>: The next Commission meeting is scheduled for 9/19 and will most likely be held in Wilna.</w:t>
      </w:r>
    </w:p>
    <w:p w:rsidR="00CB7AE4" w:rsidRDefault="00CB7AE4" w:rsidP="00B21806">
      <w:pPr>
        <w:ind w:firstLine="0"/>
      </w:pPr>
      <w:r>
        <w:lastRenderedPageBreak/>
        <w:t xml:space="preserve">                              </w:t>
      </w:r>
      <w:r>
        <w:rPr>
          <w:b/>
        </w:rPr>
        <w:t>3)</w:t>
      </w:r>
      <w:r w:rsidR="00AB4E9C">
        <w:t xml:space="preserve"> </w:t>
      </w:r>
      <w:r w:rsidR="00AB4E9C">
        <w:rPr>
          <w:b/>
        </w:rPr>
        <w:t>Intern – project:</w:t>
      </w:r>
      <w:r w:rsidR="00AB4E9C">
        <w:t xml:space="preserve">  THC is trying to plan to have more interns work with them.  If the CTHC could think of a project which they could partn</w:t>
      </w:r>
      <w:r w:rsidR="00A70121">
        <w:t xml:space="preserve">er with THC </w:t>
      </w:r>
      <w:r w:rsidR="00AB4E9C">
        <w:t xml:space="preserve">funding for an intern </w:t>
      </w:r>
      <w:r w:rsidR="00A70121">
        <w:t xml:space="preserve">might be available </w:t>
      </w:r>
      <w:r w:rsidR="00AB4E9C">
        <w:t xml:space="preserve">from Pratt </w:t>
      </w:r>
      <w:proofErr w:type="spellStart"/>
      <w:r w:rsidR="00AB4E9C">
        <w:t>Northam</w:t>
      </w:r>
      <w:proofErr w:type="spellEnd"/>
      <w:r w:rsidR="00AB4E9C">
        <w:t>.</w:t>
      </w:r>
      <w:r w:rsidR="00A95E41">
        <w:t xml:space="preserve">  The applicant would likely have to be one of the towns in the Pratt Northam area and the student would also have to be from that area as well.  None of the Executive Committee members had a project idea at this point in time.</w:t>
      </w:r>
    </w:p>
    <w:p w:rsidR="00A95E41" w:rsidRPr="00A95E41" w:rsidRDefault="00A95E41" w:rsidP="00B21806">
      <w:pPr>
        <w:ind w:firstLine="0"/>
      </w:pPr>
      <w:r>
        <w:t xml:space="preserve">                              </w:t>
      </w:r>
      <w:r>
        <w:rPr>
          <w:b/>
        </w:rPr>
        <w:t>4) Staffing Update:</w:t>
      </w:r>
      <w:r>
        <w:t xml:space="preserve">  J. Waterbury and A. Kimball are currently undergoing background checks through the Department of Budget for the upgrades to their positions, which are nearly complete.  The Commission is trying to get approval to fill J. Waterbury’s old position, not necessarily with a Planner, but </w:t>
      </w:r>
      <w:r w:rsidR="00A70121">
        <w:t xml:space="preserve">possibly </w:t>
      </w:r>
      <w:r>
        <w:t>more focused on Community Development.</w:t>
      </w:r>
    </w:p>
    <w:p w:rsidR="00B43190" w:rsidRPr="00180FFC" w:rsidRDefault="00B43190" w:rsidP="00B21806">
      <w:pPr>
        <w:ind w:firstLine="0"/>
      </w:pPr>
    </w:p>
    <w:p w:rsidR="00A63E93" w:rsidRPr="00A47AD8" w:rsidRDefault="009E6665" w:rsidP="00B21806">
      <w:pPr>
        <w:ind w:firstLine="0"/>
      </w:pPr>
      <w:r w:rsidRPr="00A47AD8">
        <w:t xml:space="preserve">                   </w:t>
      </w:r>
      <w:r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461F0F" w:rsidRPr="00A95E41" w:rsidRDefault="00A63E93" w:rsidP="00B21806">
      <w:pPr>
        <w:ind w:firstLine="0"/>
      </w:pPr>
      <w:r w:rsidRPr="00A47AD8">
        <w:rPr>
          <w:b/>
          <w:u w:val="single"/>
        </w:rPr>
        <w:t>Old Business:</w:t>
      </w:r>
      <w:r w:rsidR="00FE2A04" w:rsidRPr="00A47AD8">
        <w:t xml:space="preserve">  </w:t>
      </w:r>
      <w:r w:rsidR="00E97C38" w:rsidRPr="00A47AD8">
        <w:rPr>
          <w:b/>
        </w:rPr>
        <w:t xml:space="preserve">A) </w:t>
      </w:r>
      <w:r w:rsidR="00A95E41">
        <w:rPr>
          <w:b/>
        </w:rPr>
        <w:t xml:space="preserve">Minimum Maintenance Roads Update – </w:t>
      </w:r>
      <w:r w:rsidR="00A95E41">
        <w:t xml:space="preserve">A. Kimball reported that K. Malinowski and P. Street were in Albany that day speaking to people about this subject.  Resolutions from twelve of the CTHC towns are in hand and we are waiting for the resolution from Osceola.  We </w:t>
      </w:r>
      <w:r w:rsidR="00A70121">
        <w:t xml:space="preserve">still </w:t>
      </w:r>
      <w:r w:rsidR="00A95E41">
        <w:t>need to get resolutions from Harrisbu</w:t>
      </w:r>
      <w:r w:rsidR="00A70121">
        <w:t>rg, Turin and Williamstown</w:t>
      </w:r>
      <w:r w:rsidR="00A95E41">
        <w:t>.  West Turin is appealing the court decision</w:t>
      </w:r>
      <w:r w:rsidR="00971FD8">
        <w:t xml:space="preserve">.  The Commission has been working on the bill language with some environmental and Adirondack groups, to get their support while keeping the law </w:t>
      </w:r>
      <w:r w:rsidR="00A70121">
        <w:t xml:space="preserve">basically </w:t>
      </w:r>
      <w:r w:rsidR="00971FD8">
        <w:t>intact.  They hope to have the bill re-proposed next session and will keep working to get support.</w:t>
      </w:r>
      <w:r w:rsidR="00A95E41">
        <w:t xml:space="preserve"> </w:t>
      </w:r>
    </w:p>
    <w:p w:rsidR="00A63E93" w:rsidRPr="00A47AD8" w:rsidRDefault="00210DCA" w:rsidP="00B21806">
      <w:pPr>
        <w:ind w:firstLine="0"/>
      </w:pPr>
      <w:r w:rsidRPr="00A47AD8">
        <w:t xml:space="preserve">  </w:t>
      </w:r>
    </w:p>
    <w:p w:rsidR="006C5892" w:rsidRPr="00971FD8" w:rsidRDefault="00A63E93" w:rsidP="000A7BC1">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971FD8">
        <w:rPr>
          <w:b/>
        </w:rPr>
        <w:t xml:space="preserve">Super COG meeting – </w:t>
      </w:r>
      <w:r w:rsidR="00971FD8">
        <w:t xml:space="preserve">R. Tibbetts reviewed the notes of what happened at the COG Chairs meeting.  A. Kimball reported that per the discussion at the COG Chairs meeting, the Super COG meeting will be more COG driven and less a presentation by the Commission.  The tentative date is 10/27 and they are looking for a location at a fire hall or town hall rather than </w:t>
      </w:r>
      <w:r w:rsidR="00A70121">
        <w:t>a restaurant to</w:t>
      </w:r>
      <w:r w:rsidR="00FB13E2">
        <w:t xml:space="preserve"> reduce costs for attendees.</w:t>
      </w:r>
      <w:r w:rsidR="00971FD8">
        <w:t xml:space="preserve"> </w:t>
      </w:r>
    </w:p>
    <w:p w:rsidR="00E7276D" w:rsidRPr="00257AC9" w:rsidRDefault="007A583F" w:rsidP="007E1C3F">
      <w:pPr>
        <w:ind w:firstLine="0"/>
      </w:pPr>
      <w:r w:rsidRPr="00A47AD8">
        <w:t xml:space="preserve">               </w:t>
      </w:r>
      <w:r w:rsidR="00257AC9">
        <w:t xml:space="preserve">  </w:t>
      </w:r>
      <w:r w:rsidRPr="00A47AD8">
        <w:t xml:space="preserve">   </w:t>
      </w:r>
      <w:r w:rsidR="00E97C38" w:rsidRPr="00A47AD8">
        <w:rPr>
          <w:b/>
        </w:rPr>
        <w:t>B</w:t>
      </w:r>
      <w:r w:rsidRPr="00A47AD8">
        <w:rPr>
          <w:b/>
        </w:rPr>
        <w:t xml:space="preserve">) </w:t>
      </w:r>
      <w:r w:rsidR="00FB13E2">
        <w:rPr>
          <w:b/>
        </w:rPr>
        <w:t xml:space="preserve">Fall Meeting – </w:t>
      </w:r>
      <w:r w:rsidR="00FB13E2">
        <w:t>The fall meeting was discussed. A tentative date of 9/22 was selected.  A. Kimball will try and get a representative from each wind project to come and give a brief presentation on their projects for the speaker portion of the meeting.  As most of the wind projects are in Lewis County, the Steak and Brew</w:t>
      </w:r>
      <w:r w:rsidR="00A70121">
        <w:t xml:space="preserve"> in Turin</w:t>
      </w:r>
      <w:r w:rsidR="00156150">
        <w:t xml:space="preserve"> </w:t>
      </w:r>
      <w:r w:rsidR="00FB13E2">
        <w:t xml:space="preserve">was selected as the location if it is available.  </w:t>
      </w:r>
      <w:r w:rsidR="001E7267">
        <w:t xml:space="preserve">A. Kimball will begin preparations and invitations once details are finalized. </w:t>
      </w:r>
    </w:p>
    <w:p w:rsidR="00E7276D" w:rsidRPr="00257AC9" w:rsidRDefault="00E7276D" w:rsidP="007E1C3F">
      <w:pPr>
        <w:ind w:firstLine="0"/>
      </w:pPr>
      <w:r>
        <w:t xml:space="preserve">                   </w:t>
      </w:r>
      <w:r w:rsidR="00257AC9">
        <w:t xml:space="preserve"> </w:t>
      </w:r>
      <w:r>
        <w:t xml:space="preserve"> </w:t>
      </w:r>
      <w:r>
        <w:rPr>
          <w:b/>
        </w:rPr>
        <w:t xml:space="preserve">C) </w:t>
      </w:r>
      <w:r w:rsidR="001E7267">
        <w:rPr>
          <w:b/>
        </w:rPr>
        <w:t xml:space="preserve">Budget for fall meeting – </w:t>
      </w:r>
      <w:r w:rsidR="001E7267">
        <w:t>R. Tibbetts presented the tentative budget for 2017 to the Committee, along with a breakdown of the Associate expenses, the 2015 final financial report and the updated dues projection.  The proposed budget shows a decrease in expenses that Chairman Tibbetts believes will still meet the needs of the Council.  This would allow for a smaller transfer from reserves and allow the dues to stay at the current level for longer.  After discussion the Committee was in favor of presenting Chairman Tibbetts proposed budget to the Council at the fall meeting.</w:t>
      </w:r>
      <w:r w:rsidR="00156150">
        <w:t xml:space="preserve">  </w:t>
      </w:r>
      <w:r w:rsidR="00257AC9">
        <w:t xml:space="preserve">  </w:t>
      </w:r>
    </w:p>
    <w:p w:rsidR="00B10259" w:rsidRPr="00A47AD8" w:rsidRDefault="00E7276D" w:rsidP="007E1C3F">
      <w:pPr>
        <w:ind w:firstLine="0"/>
      </w:pPr>
      <w:r>
        <w:t xml:space="preserve">                     </w:t>
      </w:r>
      <w:r>
        <w:rPr>
          <w:b/>
        </w:rPr>
        <w:t xml:space="preserve">D) </w:t>
      </w:r>
      <w:r w:rsidR="00257AC9">
        <w:rPr>
          <w:b/>
        </w:rPr>
        <w:t xml:space="preserve">Other New Business </w:t>
      </w:r>
      <w:r w:rsidR="001A1F0A">
        <w:rPr>
          <w:b/>
        </w:rPr>
        <w:t>–</w:t>
      </w:r>
      <w:r w:rsidR="00257AC9">
        <w:rPr>
          <w:b/>
        </w:rPr>
        <w:t xml:space="preserve"> </w:t>
      </w:r>
      <w:r w:rsidR="001E7267">
        <w:t>None</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C54CE7" w:rsidRPr="00A47AD8">
        <w:t xml:space="preserve">Committee a motion was made </w:t>
      </w:r>
      <w:r w:rsidR="00F053F6">
        <w:t xml:space="preserve">by </w:t>
      </w:r>
      <w:r w:rsidR="00156150">
        <w:t>C. Bauer</w:t>
      </w:r>
      <w:r w:rsidR="001A1F0A">
        <w:t xml:space="preserve"> </w:t>
      </w:r>
      <w:r w:rsidR="00F053F6">
        <w:t>and seconded by</w:t>
      </w:r>
      <w:r w:rsidR="001E7267">
        <w:t xml:space="preserve"> P. Skinner</w:t>
      </w:r>
      <w:r w:rsidR="001A1F0A">
        <w:t xml:space="preserve"> </w:t>
      </w:r>
      <w:r w:rsidR="00BE7E9E" w:rsidRPr="00A47AD8">
        <w:t>to adjourn the meeting</w:t>
      </w:r>
      <w:r w:rsidR="00F053F6">
        <w:t xml:space="preserve"> at </w:t>
      </w:r>
      <w:r w:rsidR="001E7267">
        <w:t>7:55</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9074D"/>
    <w:rsid w:val="000A288C"/>
    <w:rsid w:val="000A7BC1"/>
    <w:rsid w:val="000F4C0C"/>
    <w:rsid w:val="00103E92"/>
    <w:rsid w:val="00107C70"/>
    <w:rsid w:val="00122E8A"/>
    <w:rsid w:val="001261B0"/>
    <w:rsid w:val="00143F31"/>
    <w:rsid w:val="00154B51"/>
    <w:rsid w:val="001560DD"/>
    <w:rsid w:val="00156150"/>
    <w:rsid w:val="00180FFC"/>
    <w:rsid w:val="00181AE6"/>
    <w:rsid w:val="001A1F0A"/>
    <w:rsid w:val="001C1123"/>
    <w:rsid w:val="001E7267"/>
    <w:rsid w:val="00210DCA"/>
    <w:rsid w:val="002449F9"/>
    <w:rsid w:val="00245E91"/>
    <w:rsid w:val="00253A46"/>
    <w:rsid w:val="00257AC9"/>
    <w:rsid w:val="00283AA0"/>
    <w:rsid w:val="002942EE"/>
    <w:rsid w:val="002958D6"/>
    <w:rsid w:val="002A1DC7"/>
    <w:rsid w:val="002B299B"/>
    <w:rsid w:val="002B3014"/>
    <w:rsid w:val="002C1467"/>
    <w:rsid w:val="002E506A"/>
    <w:rsid w:val="00356008"/>
    <w:rsid w:val="00356D4A"/>
    <w:rsid w:val="00357D9D"/>
    <w:rsid w:val="0036631F"/>
    <w:rsid w:val="00374BFF"/>
    <w:rsid w:val="00375FD8"/>
    <w:rsid w:val="0038154D"/>
    <w:rsid w:val="0039775B"/>
    <w:rsid w:val="003E7BB5"/>
    <w:rsid w:val="003F2ECD"/>
    <w:rsid w:val="00403E3F"/>
    <w:rsid w:val="004056BF"/>
    <w:rsid w:val="0042396C"/>
    <w:rsid w:val="00433906"/>
    <w:rsid w:val="00461F0F"/>
    <w:rsid w:val="00474462"/>
    <w:rsid w:val="00540603"/>
    <w:rsid w:val="00550F94"/>
    <w:rsid w:val="00571CF9"/>
    <w:rsid w:val="00575FFB"/>
    <w:rsid w:val="00580F4D"/>
    <w:rsid w:val="005E4B30"/>
    <w:rsid w:val="0061427A"/>
    <w:rsid w:val="00617F68"/>
    <w:rsid w:val="00643E8D"/>
    <w:rsid w:val="006C5892"/>
    <w:rsid w:val="006D4990"/>
    <w:rsid w:val="006D55C0"/>
    <w:rsid w:val="00722165"/>
    <w:rsid w:val="00732A9C"/>
    <w:rsid w:val="00742F4F"/>
    <w:rsid w:val="00786CB5"/>
    <w:rsid w:val="00791059"/>
    <w:rsid w:val="007A583F"/>
    <w:rsid w:val="007C6745"/>
    <w:rsid w:val="007E1C3F"/>
    <w:rsid w:val="007E288D"/>
    <w:rsid w:val="007E7401"/>
    <w:rsid w:val="007F21A0"/>
    <w:rsid w:val="0083458F"/>
    <w:rsid w:val="008B5C5F"/>
    <w:rsid w:val="009166B0"/>
    <w:rsid w:val="00926B19"/>
    <w:rsid w:val="00971FD8"/>
    <w:rsid w:val="00994E27"/>
    <w:rsid w:val="009E6665"/>
    <w:rsid w:val="00A47AD8"/>
    <w:rsid w:val="00A63E93"/>
    <w:rsid w:val="00A70121"/>
    <w:rsid w:val="00A95E41"/>
    <w:rsid w:val="00AA6E28"/>
    <w:rsid w:val="00AB4E9C"/>
    <w:rsid w:val="00AD3E24"/>
    <w:rsid w:val="00B10259"/>
    <w:rsid w:val="00B122E6"/>
    <w:rsid w:val="00B21806"/>
    <w:rsid w:val="00B43190"/>
    <w:rsid w:val="00B63F56"/>
    <w:rsid w:val="00B67FA0"/>
    <w:rsid w:val="00B864BB"/>
    <w:rsid w:val="00BB4596"/>
    <w:rsid w:val="00BE1060"/>
    <w:rsid w:val="00BE7E9E"/>
    <w:rsid w:val="00BF29A5"/>
    <w:rsid w:val="00C11D1B"/>
    <w:rsid w:val="00C20875"/>
    <w:rsid w:val="00C245E7"/>
    <w:rsid w:val="00C26DDB"/>
    <w:rsid w:val="00C54CE7"/>
    <w:rsid w:val="00C66554"/>
    <w:rsid w:val="00C8621C"/>
    <w:rsid w:val="00CB7AE4"/>
    <w:rsid w:val="00CC778F"/>
    <w:rsid w:val="00CD2F57"/>
    <w:rsid w:val="00D81626"/>
    <w:rsid w:val="00E1112D"/>
    <w:rsid w:val="00E66A4C"/>
    <w:rsid w:val="00E7276D"/>
    <w:rsid w:val="00E735FB"/>
    <w:rsid w:val="00E904CB"/>
    <w:rsid w:val="00E97C38"/>
    <w:rsid w:val="00EB4C79"/>
    <w:rsid w:val="00ED01A4"/>
    <w:rsid w:val="00F053F6"/>
    <w:rsid w:val="00F41658"/>
    <w:rsid w:val="00FA49A5"/>
    <w:rsid w:val="00FB13E2"/>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s1@frontier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7</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2</cp:revision>
  <cp:lastPrinted>2015-03-27T17:49:00Z</cp:lastPrinted>
  <dcterms:created xsi:type="dcterms:W3CDTF">2016-08-16T18:21:00Z</dcterms:created>
  <dcterms:modified xsi:type="dcterms:W3CDTF">2016-08-16T18:21:00Z</dcterms:modified>
</cp:coreProperties>
</file>